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74008" w:rsidRPr="00174008" w:rsidRDefault="00174008" w:rsidP="00174008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1740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Получайте услуги Пенсионного фонда на сайте ПФР или портале </w:t>
      </w:r>
      <w:proofErr w:type="spellStart"/>
      <w:r w:rsidRPr="001740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госуслуг</w:t>
      </w:r>
      <w:proofErr w:type="spellEnd"/>
    </w:p>
    <w:bookmarkEnd w:id="1"/>
    <w:p w:rsidR="00174008" w:rsidRDefault="00174008" w:rsidP="001740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74008" w:rsidRPr="00174008" w:rsidRDefault="00174008" w:rsidP="001740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Управление</w:t>
      </w:r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№ 24 </w:t>
      </w:r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>по г. Москве и Московской области рекомендует гражданам обращаться за услугами Пенсионного фонда в электронном виде через личный кабинет на </w:t>
      </w:r>
      <w:hyperlink r:id="rId7" w:history="1">
        <w:r w:rsidRPr="00174008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сайте ПФР</w:t>
        </w:r>
      </w:hyperlink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> или на портале </w:t>
      </w:r>
      <w:proofErr w:type="spellStart"/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fldChar w:fldCharType="begin"/>
      </w:r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instrText xml:space="preserve"> HYPERLINK "https://www.gosuslugi.ru/" </w:instrText>
      </w:r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fldChar w:fldCharType="separate"/>
      </w:r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госуслуг</w:t>
      </w:r>
      <w:proofErr w:type="spellEnd"/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fldChar w:fldCharType="end"/>
      </w:r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На сегодняшний день на сайте Пенсионного фонда гражданам доступны более 60 электронных услуг, некоторые предоставляются без регистрации, большинство требуют регистрации и подтверждения учетной записи на портале </w:t>
      </w:r>
      <w:proofErr w:type="spellStart"/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>госуслуг</w:t>
      </w:r>
      <w:proofErr w:type="spellEnd"/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</w:p>
    <w:p w:rsidR="00174008" w:rsidRPr="00174008" w:rsidRDefault="00174008" w:rsidP="001740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Возможности личного кабинета постоянно расширяются. Например, в разделе «Электронная трудовая книжка» можно заказать справку (выписку) о трудовой деятельности. Документ сохраняется в </w:t>
      </w:r>
      <w:proofErr w:type="spellStart"/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>pdf</w:t>
      </w:r>
      <w:proofErr w:type="spellEnd"/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-формате, его можно отправить на электронную почту или просмотреть в разделе «История обращений». В разделе «Материнский (семейный) капитал – </w:t>
      </w:r>
      <w:proofErr w:type="gramStart"/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>МСК</w:t>
      </w:r>
      <w:proofErr w:type="gramEnd"/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>» можно подать заявления о выдаче государственного сертификата на материнский капитал, его распоряжении,  заказать справку из Федерального регистра лиц, имеющих право на дополнительные меры господдержки, о выдаче государственного сертификата на МСК.</w:t>
      </w:r>
    </w:p>
    <w:p w:rsidR="00174008" w:rsidRPr="00174008" w:rsidRDefault="00174008" w:rsidP="001740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Всего в личном кабинете семь разделов: «Электронная трудовая книжка», «Индивидуальный лицевой счет», «Управление средствами пенсионных накоплений», «Пенсии», «Социальные выплаты», «Материнский (семейный) капитал — </w:t>
      </w:r>
      <w:proofErr w:type="gramStart"/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>МСК</w:t>
      </w:r>
      <w:proofErr w:type="gramEnd"/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>», «Гражданам, проживающим за границей». Любой желающий может получить здесь необходимые справки, сведения о пенсионных коэффициентах, накоплениях, стаже, отчислениях работодателей, обратиться за оформлением большинства выплат.</w:t>
      </w:r>
    </w:p>
    <w:p w:rsidR="00174008" w:rsidRPr="00174008" w:rsidRDefault="00174008" w:rsidP="001740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>Вопросы, касающиеся назначенных выплат и содержащие персональные данные, можно направить через </w:t>
      </w:r>
      <w:hyperlink r:id="rId8" w:history="1">
        <w:r w:rsidRPr="00174008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онлайн-приемную</w:t>
        </w:r>
      </w:hyperlink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>, вопросы в целом по компетенции Пенсионного фонда – задать оператору в чате. </w:t>
      </w:r>
    </w:p>
    <w:p w:rsidR="00174008" w:rsidRPr="00174008" w:rsidRDefault="00174008" w:rsidP="001740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>Если необходимо обратиться в клиентскую службу ПФР, то по-прежнему необходимо воспользоваться </w:t>
      </w:r>
      <w:hyperlink r:id="rId9" w:history="1">
        <w:r w:rsidRPr="00174008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сервисом предварительной записи</w:t>
        </w:r>
      </w:hyperlink>
      <w:r w:rsidRPr="00174008">
        <w:rPr>
          <w:rFonts w:ascii="Times New Roman" w:eastAsia="Times New Roman" w:hAnsi="Times New Roman" w:cs="Times New Roman"/>
          <w:color w:val="212121"/>
          <w:sz w:val="24"/>
          <w:szCs w:val="24"/>
        </w:rPr>
        <w:t> на сайте. Записаться на прием можно также через мобильное приложение ПФР.</w:t>
      </w:r>
    </w:p>
    <w:p w:rsidR="00F950E4" w:rsidRPr="00DA28C6" w:rsidRDefault="00F950E4" w:rsidP="00DA28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Pr="00DA28C6" w:rsidRDefault="00F950E4" w:rsidP="00DA28C6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DA28C6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DA28C6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DA28C6" w:rsidSect="00DA28C6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C5"/>
    <w:multiLevelType w:val="multilevel"/>
    <w:tmpl w:val="1CA8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F47B16"/>
    <w:multiLevelType w:val="multilevel"/>
    <w:tmpl w:val="9F0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A6CE4"/>
    <w:multiLevelType w:val="multilevel"/>
    <w:tmpl w:val="6A90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17"/>
  </w:num>
  <w:num w:numId="5">
    <w:abstractNumId w:val="26"/>
  </w:num>
  <w:num w:numId="6">
    <w:abstractNumId w:val="13"/>
  </w:num>
  <w:num w:numId="7">
    <w:abstractNumId w:val="18"/>
  </w:num>
  <w:num w:numId="8">
    <w:abstractNumId w:val="19"/>
  </w:num>
  <w:num w:numId="9">
    <w:abstractNumId w:val="20"/>
  </w:num>
  <w:num w:numId="10">
    <w:abstractNumId w:val="8"/>
  </w:num>
  <w:num w:numId="11">
    <w:abstractNumId w:val="6"/>
  </w:num>
  <w:num w:numId="12">
    <w:abstractNumId w:val="15"/>
  </w:num>
  <w:num w:numId="13">
    <w:abstractNumId w:val="22"/>
  </w:num>
  <w:num w:numId="14">
    <w:abstractNumId w:val="29"/>
  </w:num>
  <w:num w:numId="15">
    <w:abstractNumId w:val="3"/>
  </w:num>
  <w:num w:numId="16">
    <w:abstractNumId w:val="5"/>
  </w:num>
  <w:num w:numId="17">
    <w:abstractNumId w:val="9"/>
  </w:num>
  <w:num w:numId="18">
    <w:abstractNumId w:val="10"/>
  </w:num>
  <w:num w:numId="19">
    <w:abstractNumId w:val="24"/>
  </w:num>
  <w:num w:numId="20">
    <w:abstractNumId w:val="16"/>
  </w:num>
  <w:num w:numId="21">
    <w:abstractNumId w:val="7"/>
  </w:num>
  <w:num w:numId="22">
    <w:abstractNumId w:val="28"/>
  </w:num>
  <w:num w:numId="23">
    <w:abstractNumId w:val="4"/>
  </w:num>
  <w:num w:numId="24">
    <w:abstractNumId w:val="27"/>
  </w:num>
  <w:num w:numId="25">
    <w:abstractNumId w:val="1"/>
  </w:num>
  <w:num w:numId="26">
    <w:abstractNumId w:val="2"/>
  </w:num>
  <w:num w:numId="27">
    <w:abstractNumId w:val="11"/>
  </w:num>
  <w:num w:numId="28">
    <w:abstractNumId w:val="25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74008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1BF8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A28C6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6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4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3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60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0146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5817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9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68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/" TargetMode="External"/><Relationship Id="rId3" Type="http://schemas.openxmlformats.org/officeDocument/2006/relationships/styles" Target="styles.xml"/><Relationship Id="rId7" Type="http://schemas.openxmlformats.org/officeDocument/2006/relationships/hyperlink" Target="https://pf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s.pfrf.ru/z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51D5-84AB-4FE2-B51E-DE412AD0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2021-05-27T12:07:00Z</dcterms:created>
  <dcterms:modified xsi:type="dcterms:W3CDTF">2021-05-27T12:07:00Z</dcterms:modified>
</cp:coreProperties>
</file>