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3901" w:rsidRPr="00633901" w:rsidRDefault="00633901" w:rsidP="00633901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6339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Пенсия индивидуальных предпринимателей зависит от количества индивидуальных пенсионных коэффициентов</w:t>
      </w:r>
    </w:p>
    <w:bookmarkEnd w:id="1"/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напоминает, что п</w:t>
      </w:r>
      <w:r w:rsidRPr="00633901">
        <w:rPr>
          <w:rFonts w:ascii="Times New Roman" w:eastAsia="Times New Roman" w:hAnsi="Times New Roman" w:cs="Times New Roman"/>
          <w:sz w:val="24"/>
          <w:szCs w:val="24"/>
        </w:rPr>
        <w:t>енсионные права индивидуальных предпринимателей (ИП) формируются по тем же правилам, что и у наёмных работников.</w:t>
      </w:r>
    </w:p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Так, пенсионное законодательство позволяет выйти на пенсию во II полугодии 2021 года мужчинам в возрасте 61,5 лет и женщинам 56,5 лет, родившимся соответственно в I полугодии 1960 года и в I полугодии 1965 года, при соблюдении условий:</w:t>
      </w:r>
    </w:p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- минимальный стаж не менее 12 лет (с 2024 года – не менее 15 лет);</w:t>
      </w:r>
    </w:p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- количество индивидуальных пенсионных коэффициентов (ИПК) не менее 21 (с 2025 года – не менее 30).</w:t>
      </w:r>
    </w:p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Вторую - переменную часть - уплачивают только те предприниматели, чей доход за год превысил 300 000 рублей – 1 процент от суммы превышения.</w:t>
      </w:r>
    </w:p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его снятия с регистрационного учёта в налоговом органе.</w:t>
      </w:r>
    </w:p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633901" w:rsidRPr="00633901" w:rsidRDefault="00633901" w:rsidP="00633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633901" w:rsidRPr="00633901" w:rsidRDefault="00633901" w:rsidP="006339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9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0A90" w:rsidRPr="009B0A90" w:rsidRDefault="009B0A90" w:rsidP="009B0A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F26D0" w:rsidRPr="002F0309" w:rsidRDefault="009B0A90" w:rsidP="009B0A9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50E4"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="00F950E4"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33901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B0A90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CF6D14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3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30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7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3246-D0DA-46A5-965D-77D49A19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2021-06-09T08:35:00Z</dcterms:created>
  <dcterms:modified xsi:type="dcterms:W3CDTF">2021-06-09T08:35:00Z</dcterms:modified>
</cp:coreProperties>
</file>